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D6" w:rsidRDefault="00174781" w:rsidP="00F878D6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FD94A9" wp14:editId="103D1162">
            <wp:simplePos x="0" y="0"/>
            <wp:positionH relativeFrom="column">
              <wp:posOffset>-341630</wp:posOffset>
            </wp:positionH>
            <wp:positionV relativeFrom="paragraph">
              <wp:posOffset>-439420</wp:posOffset>
            </wp:positionV>
            <wp:extent cx="3657600" cy="923290"/>
            <wp:effectExtent l="0" t="0" r="0" b="0"/>
            <wp:wrapSquare wrapText="bothSides"/>
            <wp:docPr id="2" name="Picture 2" descr="https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1B" w:rsidRPr="00F878D6"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CBECB" wp14:editId="5C606B34">
                <wp:simplePos x="0" y="0"/>
                <wp:positionH relativeFrom="column">
                  <wp:posOffset>4121624</wp:posOffset>
                </wp:positionH>
                <wp:positionV relativeFrom="paragraph">
                  <wp:posOffset>-300251</wp:posOffset>
                </wp:positionV>
                <wp:extent cx="2200910" cy="1133475"/>
                <wp:effectExtent l="0" t="0" r="8890" b="9525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8D6" w:rsidRPr="00FA41E0" w:rsidRDefault="00F878D6" w:rsidP="00F878D6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A41E0">
                              <w:rPr>
                                <w:b/>
                                <w:color w:val="17365D" w:themeColor="text2" w:themeShade="BF"/>
                              </w:rPr>
                              <w:t>Office of Sponsored Programs</w:t>
                            </w:r>
                          </w:p>
                          <w:p w:rsidR="00F878D6" w:rsidRPr="00575EB7" w:rsidRDefault="00F878D6" w:rsidP="00F878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1570 Baltimore Pike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Lincoln University, PA  19352</w:t>
                            </w:r>
                          </w:p>
                          <w:p w:rsidR="00F878D6" w:rsidRPr="00575EB7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484-365-7234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phone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484-365-7691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osp@lincoln.edu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55pt;margin-top:-23.65pt;width:173.3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hk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FqE5vXAVO9wbc/ADbwHLM1Jk7Tb84pPRNS9SGX1mr+5YTBtFl4WRycnTEcQFk&#10;3b/XDK4hW68j0NDYLpQOioEAHVh6PDITQqGwmQPXZQYmCrYsOz8vZtN4B6kOx411/i3XHQqTGlug&#10;PsKT3Z3zIRxSHVzCbU5LwVZCyriwm/WNtGhHQCar+O3RX7hJFZyVDsdGxHEHooQ7gi3EG2l/KrO8&#10;SK/zcrK6mM8mxaqYTspZOp+kWXldXqRFWdyuvocAs6JqBWNc3QnFDxLMir+jeN8Mo3iiCFEPVE7z&#10;6cjRH5NM4/e7JDvhoSOl6Go8PzqRKjD7RjFIm1SeCDnOk5fhxypDDQ7/WJWog0D9KAI/rAdACeJY&#10;a/YIirAa+AJu4RmBSavtN4x6aMkau69bYjlG8p0CVZVZUYQejotiOsthYU8t61MLURSgauwxGqc3&#10;fuz7rbFi08JNo46VvgIlNiJq5DmqvX6h7WIy+yci9PXpOno9P2TLHwAAAP//AwBQSwMEFAAGAAgA&#10;AAAhALkZBB3gAAAACwEAAA8AAABkcnMvZG93bnJldi54bWxMj0FugzAQRfeVegdrInVTJYaEQKGY&#10;qK3UqtukOcAAE0DBNsJOILfvdNUsR//p/zf5bta9uNLoOmsUhKsABJnK1p1pFBx/PpcvIJxHU2Nv&#10;DSm4kYNd8fiQY1bbyezpevCN4BLjMlTQej9kUrqqJY1uZQcynJ3sqNHzOTayHnHict3LdRDEUmNn&#10;eKHFgT5aqs6Hi1Zw+p6et+lUfvljso/id+yS0t6UelrMb68gPM3+H4Y/fVaHgp1KezG1E72COEpD&#10;RhUso2QDgok03SYgSkY34Rpkkcv7H4pfAAAA//8DAFBLAQItABQABgAIAAAAIQC2gziS/gAAAOEB&#10;AAATAAAAAAAAAAAAAAAAAAAAAABbQ29udGVudF9UeXBlc10ueG1sUEsBAi0AFAAGAAgAAAAhADj9&#10;If/WAAAAlAEAAAsAAAAAAAAAAAAAAAAALwEAAF9yZWxzLy5yZWxzUEsBAi0AFAAGAAgAAAAhAAGV&#10;OGSCAgAAEAUAAA4AAAAAAAAAAAAAAAAALgIAAGRycy9lMm9Eb2MueG1sUEsBAi0AFAAGAAgAAAAh&#10;ALkZBB3gAAAACwEAAA8AAAAAAAAAAAAAAAAA3AQAAGRycy9kb3ducmV2LnhtbFBLBQYAAAAABAAE&#10;APMAAADpBQAAAAA=&#10;" stroked="f">
                <v:textbox>
                  <w:txbxContent>
                    <w:p w:rsidR="00F878D6" w:rsidRPr="00FA41E0" w:rsidRDefault="00F878D6" w:rsidP="00F878D6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FA41E0">
                        <w:rPr>
                          <w:b/>
                          <w:color w:val="17365D" w:themeColor="text2" w:themeShade="BF"/>
                        </w:rPr>
                        <w:t>Office of Sponsored Programs</w:t>
                      </w:r>
                    </w:p>
                    <w:p w:rsidR="00F878D6" w:rsidRPr="00575EB7" w:rsidRDefault="00F878D6" w:rsidP="00F878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1570 Baltimore Pike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Lincoln University, PA  19352</w:t>
                      </w:r>
                    </w:p>
                    <w:p w:rsidR="00F878D6" w:rsidRPr="00575EB7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484-365-7234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phone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484-365-7691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fax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osp@lincoln.edu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8D6" w:rsidRDefault="00F878D6" w:rsidP="00F878D6">
      <w:pPr>
        <w:rPr>
          <w:rFonts w:ascii="Times New Roman" w:hAnsi="Times New Roman" w:cs="Times New Roman"/>
        </w:rPr>
      </w:pPr>
    </w:p>
    <w:p w:rsidR="00F878D6" w:rsidRDefault="00F878D6" w:rsidP="00F878D6">
      <w:pPr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12530" w:rsidRPr="00DC2FDA" w:rsidRDefault="00112530" w:rsidP="00112530">
      <w:pPr>
        <w:rPr>
          <w:b/>
          <w:sz w:val="40"/>
          <w:szCs w:val="40"/>
          <w:u w:val="single"/>
        </w:rPr>
      </w:pPr>
      <w:r w:rsidRPr="00DC2FDA">
        <w:rPr>
          <w:b/>
          <w:sz w:val="40"/>
          <w:szCs w:val="40"/>
          <w:u w:val="single"/>
        </w:rPr>
        <w:t>UNIFORM GUIDANCE</w:t>
      </w:r>
    </w:p>
    <w:p w:rsidR="00112530" w:rsidRPr="00DC2FDA" w:rsidRDefault="00112530" w:rsidP="00112530">
      <w:pPr>
        <w:shd w:val="clear" w:color="auto" w:fill="FFFFFF"/>
        <w:spacing w:before="480" w:after="240" w:line="360" w:lineRule="atLeast"/>
        <w:outlineLvl w:val="2"/>
        <w:rPr>
          <w:rFonts w:ascii="Arial" w:eastAsia="Times New Roman" w:hAnsi="Arial" w:cs="Arial"/>
          <w:caps/>
          <w:color w:val="AA1A1E"/>
          <w:sz w:val="27"/>
          <w:szCs w:val="27"/>
        </w:rPr>
      </w:pPr>
      <w:r w:rsidRPr="00DC2FDA">
        <w:rPr>
          <w:rFonts w:ascii="Arial" w:eastAsia="Times New Roman" w:hAnsi="Arial" w:cs="Arial"/>
          <w:caps/>
          <w:color w:val="AA1A1E"/>
          <w:sz w:val="27"/>
          <w:szCs w:val="27"/>
        </w:rPr>
        <w:t>OFFICE OF MANAGEMENT AND BUDGET CIRCULARS</w:t>
      </w:r>
    </w:p>
    <w:p w:rsidR="00112530" w:rsidRPr="00DC2FDA" w:rsidRDefault="00112530" w:rsidP="00112530">
      <w:pPr>
        <w:shd w:val="clear" w:color="auto" w:fill="FFFFFF"/>
        <w:spacing w:after="315" w:line="240" w:lineRule="auto"/>
        <w:rPr>
          <w:rFonts w:ascii="Helvetica" w:eastAsia="Times New Roman" w:hAnsi="Helvetica" w:cs="Helvetica"/>
          <w:color w:val="58595B"/>
          <w:sz w:val="24"/>
          <w:szCs w:val="24"/>
        </w:rPr>
      </w:pPr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t>OMB Circular A-21</w:t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 </w:t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br/>
        <w:t>(Principles for Determining Costs Applicable to Grants, Contracts, and other agreements with Educational Institutions</w:t>
      </w:r>
      <w:proofErr w:type="gramStart"/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)</w:t>
      </w:r>
      <w:proofErr w:type="gramEnd"/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br/>
      </w:r>
      <w:hyperlink r:id="rId9" w:tgtFrame="_blank" w:history="1">
        <w:r w:rsidRPr="00DC2FDA">
          <w:rPr>
            <w:rFonts w:ascii="Helvetica" w:eastAsia="Times New Roman" w:hAnsi="Helvetica" w:cs="Helvetica"/>
            <w:color w:val="AA1A1E"/>
            <w:sz w:val="24"/>
            <w:szCs w:val="24"/>
            <w:u w:val="single"/>
          </w:rPr>
          <w:t>http://www.whitehouse.gov/omb/circulars/a021/a021.html</w:t>
        </w:r>
      </w:hyperlink>
    </w:p>
    <w:p w:rsidR="00112530" w:rsidRPr="00DC2FDA" w:rsidRDefault="00112530" w:rsidP="00112530">
      <w:pPr>
        <w:shd w:val="clear" w:color="auto" w:fill="FFFFFF"/>
        <w:spacing w:after="315" w:line="240" w:lineRule="auto"/>
        <w:rPr>
          <w:rFonts w:ascii="Helvetica" w:eastAsia="Times New Roman" w:hAnsi="Helvetica" w:cs="Helvetica"/>
          <w:color w:val="58595B"/>
          <w:sz w:val="24"/>
          <w:szCs w:val="24"/>
        </w:rPr>
      </w:pPr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t>OMB Circular A-110</w:t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 </w:t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br/>
        <w:t>(Uniform Administrative Requirements for Grants and Agreements with Institutions of Higher Education, Hospitals, and other non-profit organizations</w:t>
      </w:r>
      <w:proofErr w:type="gramStart"/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)</w:t>
      </w:r>
      <w:proofErr w:type="gramEnd"/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br/>
      </w:r>
      <w:hyperlink r:id="rId10" w:tgtFrame="_blank" w:history="1">
        <w:r w:rsidRPr="00DC2FDA">
          <w:rPr>
            <w:rFonts w:ascii="Helvetica" w:eastAsia="Times New Roman" w:hAnsi="Helvetica" w:cs="Helvetica"/>
            <w:color w:val="AA1A1E"/>
            <w:sz w:val="24"/>
            <w:szCs w:val="24"/>
            <w:u w:val="single"/>
          </w:rPr>
          <w:t>http://www.whitehouse.gov/omb/circulars/a110/a110.html</w:t>
        </w:r>
      </w:hyperlink>
    </w:p>
    <w:p w:rsidR="00112530" w:rsidRPr="00DC2FDA" w:rsidRDefault="00112530" w:rsidP="00112530">
      <w:pPr>
        <w:shd w:val="clear" w:color="auto" w:fill="FFFFFF"/>
        <w:spacing w:after="315" w:line="240" w:lineRule="auto"/>
        <w:rPr>
          <w:rFonts w:ascii="Helvetica" w:eastAsia="Times New Roman" w:hAnsi="Helvetica" w:cs="Helvetica"/>
          <w:color w:val="58595B"/>
          <w:sz w:val="24"/>
          <w:szCs w:val="24"/>
        </w:rPr>
      </w:pPr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t>OMB Circular A-133 </w:t>
      </w:r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br/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(Audits of States, local governments, and non-profit organizations</w:t>
      </w:r>
      <w:proofErr w:type="gramStart"/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)</w:t>
      </w:r>
      <w:proofErr w:type="gramEnd"/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br/>
      </w:r>
      <w:hyperlink r:id="rId11" w:tgtFrame="_blank" w:history="1">
        <w:r w:rsidRPr="00DC2FDA">
          <w:rPr>
            <w:rFonts w:ascii="Helvetica" w:eastAsia="Times New Roman" w:hAnsi="Helvetica" w:cs="Helvetica"/>
            <w:color w:val="AA1A1E"/>
            <w:sz w:val="24"/>
            <w:szCs w:val="24"/>
            <w:u w:val="single"/>
          </w:rPr>
          <w:t>http://www.whitehouse.gov/omb/circulars/a133/a133.html</w:t>
        </w:r>
      </w:hyperlink>
    </w:p>
    <w:p w:rsidR="00112530" w:rsidRPr="00DC2FDA" w:rsidRDefault="00112530" w:rsidP="00112530">
      <w:pPr>
        <w:shd w:val="clear" w:color="auto" w:fill="FFFFFF"/>
        <w:spacing w:after="315" w:line="240" w:lineRule="auto"/>
        <w:rPr>
          <w:rFonts w:ascii="Helvetica" w:eastAsia="Times New Roman" w:hAnsi="Helvetica" w:cs="Helvetica"/>
          <w:color w:val="58595B"/>
          <w:sz w:val="24"/>
          <w:szCs w:val="24"/>
        </w:rPr>
      </w:pPr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t>Uniform Guidance</w:t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 </w:t>
      </w: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br/>
        <w:t>(Uniform Administrative Requirements Cost Principles, and Audit Requirements for Federal Grants</w:t>
      </w:r>
      <w:proofErr w:type="gramStart"/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)</w:t>
      </w:r>
      <w:proofErr w:type="gramEnd"/>
      <w:r w:rsidRPr="00DC2FDA">
        <w:rPr>
          <w:rFonts w:ascii="Helvetica" w:eastAsia="Times New Roman" w:hAnsi="Helvetica" w:cs="Helvetica"/>
          <w:b/>
          <w:bCs/>
          <w:color w:val="58595B"/>
          <w:sz w:val="24"/>
          <w:szCs w:val="24"/>
        </w:rPr>
        <w:br/>
      </w:r>
      <w:hyperlink r:id="rId12" w:history="1">
        <w:r w:rsidRPr="00DC2FDA">
          <w:rPr>
            <w:rFonts w:ascii="Helvetica" w:eastAsia="Times New Roman" w:hAnsi="Helvetica" w:cs="Helvetica"/>
            <w:color w:val="AA1A1E"/>
            <w:sz w:val="24"/>
            <w:szCs w:val="24"/>
            <w:u w:val="single"/>
          </w:rPr>
          <w:t>http://www.ecfr.gov/cgi-bin/text-idx?tpl=/ecfrbrowse/Title02/2cfr200_main_02.tpl</w:t>
        </w:r>
      </w:hyperlink>
    </w:p>
    <w:p w:rsidR="00112530" w:rsidRPr="00DC2FDA" w:rsidRDefault="00112530" w:rsidP="00112530">
      <w:pPr>
        <w:shd w:val="clear" w:color="auto" w:fill="FFFFFF"/>
        <w:spacing w:after="315" w:line="240" w:lineRule="auto"/>
        <w:rPr>
          <w:rFonts w:ascii="Helvetica" w:eastAsia="Times New Roman" w:hAnsi="Helvetica" w:cs="Helvetica"/>
          <w:color w:val="58595B"/>
          <w:sz w:val="24"/>
          <w:szCs w:val="24"/>
        </w:rPr>
      </w:pPr>
      <w:r w:rsidRPr="00DC2FDA">
        <w:rPr>
          <w:rFonts w:ascii="Helvetica" w:eastAsia="Times New Roman" w:hAnsi="Helvetica" w:cs="Helvetica"/>
          <w:color w:val="58595B"/>
          <w:sz w:val="24"/>
          <w:szCs w:val="24"/>
        </w:rPr>
        <w:t> </w:t>
      </w:r>
    </w:p>
    <w:p w:rsidR="00112530" w:rsidRDefault="00112530" w:rsidP="00112530"/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P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sectPr w:rsidR="00F878D6" w:rsidRPr="00F878D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54" w:rsidRDefault="00232254" w:rsidP="006113ED">
      <w:pPr>
        <w:spacing w:after="0" w:line="240" w:lineRule="auto"/>
      </w:pPr>
      <w:r>
        <w:separator/>
      </w:r>
    </w:p>
  </w:endnote>
  <w:endnote w:type="continuationSeparator" w:id="0">
    <w:p w:rsidR="00232254" w:rsidRDefault="00232254" w:rsidP="006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92" w:rsidRPr="00174781" w:rsidRDefault="00174781" w:rsidP="00174781">
    <w:pPr>
      <w:pStyle w:val="Footer"/>
      <w:pBdr>
        <w:top w:val="single" w:sz="4" w:space="1" w:color="D9D9D9" w:themeColor="background1" w:themeShade="D9"/>
      </w:pBdr>
      <w:rPr>
        <w:i/>
      </w:rPr>
    </w:pPr>
    <w:r w:rsidRPr="00174781">
      <w:rPr>
        <w:rFonts w:ascii="Arial Narrow" w:hAnsi="Arial Narrow"/>
        <w:b/>
        <w:bCs/>
        <w:i/>
        <w:color w:val="1F497D" w:themeColor="text2"/>
        <w:sz w:val="16"/>
        <w:szCs w:val="16"/>
      </w:rPr>
      <w:t xml:space="preserve">Mission:  </w:t>
    </w:r>
    <w:r w:rsidRPr="00174781">
      <w:rPr>
        <w:rFonts w:ascii="Arial Narrow" w:hAnsi="Arial Narrow"/>
        <w:bCs/>
        <w:i/>
        <w:color w:val="1F497D" w:themeColor="text2"/>
        <w:sz w:val="16"/>
        <w:szCs w:val="16"/>
      </w:rPr>
      <w:t>Lincoln University, the nation’s first degree-granting Historically Black College and University (HBCU), educates and empowers students to lead their communities and change the world.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54" w:rsidRDefault="00232254" w:rsidP="006113ED">
      <w:pPr>
        <w:spacing w:after="0" w:line="240" w:lineRule="auto"/>
      </w:pPr>
      <w:r>
        <w:separator/>
      </w:r>
    </w:p>
  </w:footnote>
  <w:footnote w:type="continuationSeparator" w:id="0">
    <w:p w:rsidR="00232254" w:rsidRDefault="00232254" w:rsidP="0061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55FF"/>
    <w:multiLevelType w:val="hybridMultilevel"/>
    <w:tmpl w:val="69148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D"/>
    <w:rsid w:val="00080F4A"/>
    <w:rsid w:val="00112530"/>
    <w:rsid w:val="00174781"/>
    <w:rsid w:val="001C00DD"/>
    <w:rsid w:val="00221CE7"/>
    <w:rsid w:val="00232254"/>
    <w:rsid w:val="0028411B"/>
    <w:rsid w:val="00293588"/>
    <w:rsid w:val="00385B40"/>
    <w:rsid w:val="00403D07"/>
    <w:rsid w:val="00542713"/>
    <w:rsid w:val="005559EB"/>
    <w:rsid w:val="00561C22"/>
    <w:rsid w:val="006113ED"/>
    <w:rsid w:val="006B65C4"/>
    <w:rsid w:val="00800332"/>
    <w:rsid w:val="00B73344"/>
    <w:rsid w:val="00BD44DE"/>
    <w:rsid w:val="00C0640A"/>
    <w:rsid w:val="00E70892"/>
    <w:rsid w:val="00EA04B6"/>
    <w:rsid w:val="00F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D"/>
  </w:style>
  <w:style w:type="paragraph" w:styleId="Footer">
    <w:name w:val="footer"/>
    <w:basedOn w:val="Normal"/>
    <w:link w:val="Foot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D"/>
  </w:style>
  <w:style w:type="paragraph" w:styleId="Title">
    <w:name w:val="Title"/>
    <w:basedOn w:val="Normal"/>
    <w:next w:val="Normal"/>
    <w:link w:val="TitleChar"/>
    <w:uiPriority w:val="10"/>
    <w:qFormat/>
    <w:rsid w:val="00611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0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D"/>
  </w:style>
  <w:style w:type="paragraph" w:styleId="Footer">
    <w:name w:val="footer"/>
    <w:basedOn w:val="Normal"/>
    <w:link w:val="Foot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D"/>
  </w:style>
  <w:style w:type="paragraph" w:styleId="Title">
    <w:name w:val="Title"/>
    <w:basedOn w:val="Normal"/>
    <w:next w:val="Normal"/>
    <w:link w:val="TitleChar"/>
    <w:uiPriority w:val="10"/>
    <w:qFormat/>
    <w:rsid w:val="00611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0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cfr.gov/cgi-bin/text-idx?tpl=/ecfrbrowse/Title02/2cfr200_main_02.t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hitehouse.gov/omb/circulars/a133/a13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hitehouse.gov/omb/circulars/a110/a1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house.gov/omb/circulars/a021/a21_200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Celeste</dc:creator>
  <cp:lastModifiedBy>Cassidy, Celeste</cp:lastModifiedBy>
  <cp:revision>2</cp:revision>
  <cp:lastPrinted>2019-07-05T15:36:00Z</cp:lastPrinted>
  <dcterms:created xsi:type="dcterms:W3CDTF">2019-08-01T15:06:00Z</dcterms:created>
  <dcterms:modified xsi:type="dcterms:W3CDTF">2019-08-01T15:06:00Z</dcterms:modified>
</cp:coreProperties>
</file>